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3844C59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FD3175">
        <w:rPr>
          <w:rFonts w:ascii="Verdana" w:hAnsi="Verdana"/>
          <w:b/>
          <w:sz w:val="18"/>
          <w:szCs w:val="18"/>
        </w:rPr>
        <w:t>Opravy a servis SHV MVTV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FD317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FD317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FD317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FD317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FD317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F26EFB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D317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D3175" w:rsidRPr="00FD317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2BBA099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D317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D3175">
      <w:fldChar w:fldCharType="begin"/>
    </w:r>
    <w:r w:rsidR="00FD3175">
      <w:instrText xml:space="preserve"> SECTIONPAGES  \* Arabic  \* MERGEFORMAT </w:instrText>
    </w:r>
    <w:r w:rsidR="00FD3175">
      <w:fldChar w:fldCharType="separate"/>
    </w:r>
    <w:r w:rsidR="00FD3175" w:rsidRPr="00FD3175">
      <w:rPr>
        <w:rFonts w:cs="Arial"/>
        <w:noProof/>
        <w:sz w:val="14"/>
        <w:szCs w:val="14"/>
      </w:rPr>
      <w:t>2</w:t>
    </w:r>
    <w:r w:rsidR="00FD317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317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11680-BD22-4771-96DD-F108A167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2024-09-25T05:13:00Z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